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F" w:rsidRPr="00927E4D" w:rsidRDefault="002E3A5F" w:rsidP="002E3A5F">
      <w:pPr>
        <w:ind w:left="2124" w:firstLine="708"/>
        <w:rPr>
          <w:rFonts w:ascii="Garamond" w:hAnsi="Garamond"/>
          <w:color w:val="000000" w:themeColor="text1"/>
        </w:rPr>
      </w:pPr>
      <w:r w:rsidRPr="00927E4D">
        <w:rPr>
          <w:rFonts w:ascii="Garamond" w:hAnsi="Garamond"/>
          <w:color w:val="000000" w:themeColor="text1"/>
        </w:rPr>
        <w:t xml:space="preserve">         Associazione Studi Bancari </w:t>
      </w:r>
      <w:r w:rsidRPr="00927E4D">
        <w:rPr>
          <w:rFonts w:ascii="Garamond" w:hAnsi="Garamond"/>
          <w:noProof/>
          <w:color w:val="000000" w:themeColor="text1"/>
          <w:lang w:eastAsia="it-IT"/>
        </w:rPr>
        <w:drawing>
          <wp:inline distT="0" distB="0" distL="0" distR="0">
            <wp:extent cx="380463" cy="388846"/>
            <wp:effectExtent l="19050" t="0" r="537" b="0"/>
            <wp:docPr id="4" name="Immagine 1" descr="http://www.studibancari.it/templates/studibancari5/images/logo-883942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bancari.it/templates/studibancari5/images/logo-8839428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6" cy="3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9C" w:rsidRPr="00796B89" w:rsidRDefault="00FC5B9C" w:rsidP="001945C2">
      <w:pPr>
        <w:pStyle w:val="Titolo"/>
        <w:tabs>
          <w:tab w:val="left" w:pos="2127"/>
        </w:tabs>
        <w:jc w:val="both"/>
        <w:rPr>
          <w:rFonts w:ascii="Garamond" w:hAnsi="Garamond"/>
          <w:b w:val="0"/>
          <w:color w:val="808080" w:themeColor="background1" w:themeShade="80"/>
          <w:sz w:val="22"/>
          <w:szCs w:val="22"/>
        </w:rPr>
      </w:pPr>
    </w:p>
    <w:p w:rsidR="00FC5B9C" w:rsidRPr="00091109" w:rsidRDefault="00E90862" w:rsidP="00E90862">
      <w:pPr>
        <w:pStyle w:val="Titolo"/>
        <w:tabs>
          <w:tab w:val="left" w:pos="2127"/>
        </w:tabs>
        <w:jc w:val="both"/>
        <w:rPr>
          <w:rFonts w:ascii="Garamond" w:hAnsi="Garamond"/>
          <w:b w:val="0"/>
          <w:szCs w:val="24"/>
        </w:rPr>
      </w:pPr>
      <w:r w:rsidRPr="00796B89">
        <w:rPr>
          <w:rFonts w:ascii="Garamond" w:hAnsi="Garamond"/>
          <w:b w:val="0"/>
          <w:color w:val="808080" w:themeColor="background1" w:themeShade="80"/>
          <w:sz w:val="22"/>
          <w:szCs w:val="22"/>
        </w:rPr>
        <w:tab/>
      </w:r>
      <w:r w:rsidRPr="00796B89">
        <w:rPr>
          <w:rFonts w:ascii="Garamond" w:hAnsi="Garamond"/>
          <w:b w:val="0"/>
          <w:color w:val="808080" w:themeColor="background1" w:themeShade="80"/>
          <w:sz w:val="22"/>
          <w:szCs w:val="22"/>
        </w:rPr>
        <w:tab/>
      </w:r>
      <w:r w:rsidRPr="00796B89">
        <w:rPr>
          <w:rFonts w:ascii="Garamond" w:hAnsi="Garamond"/>
          <w:b w:val="0"/>
          <w:color w:val="808080" w:themeColor="background1" w:themeShade="80"/>
          <w:sz w:val="22"/>
          <w:szCs w:val="22"/>
        </w:rPr>
        <w:tab/>
      </w:r>
      <w:r w:rsidR="000374D9">
        <w:rPr>
          <w:rFonts w:ascii="Garamond" w:hAnsi="Garamond"/>
          <w:b w:val="0"/>
          <w:color w:val="808080" w:themeColor="background1" w:themeShade="80"/>
          <w:sz w:val="22"/>
          <w:szCs w:val="22"/>
        </w:rPr>
        <w:t xml:space="preserve">     </w:t>
      </w:r>
      <w:r w:rsidR="00BF1FB8" w:rsidRPr="00091109">
        <w:rPr>
          <w:rFonts w:ascii="Garamond" w:hAnsi="Garamond"/>
          <w:b w:val="0"/>
          <w:szCs w:val="24"/>
        </w:rPr>
        <w:t>C</w:t>
      </w:r>
      <w:r w:rsidR="00FC5B9C" w:rsidRPr="00091109">
        <w:rPr>
          <w:rFonts w:ascii="Garamond" w:hAnsi="Garamond"/>
          <w:b w:val="0"/>
          <w:szCs w:val="24"/>
        </w:rPr>
        <w:t xml:space="preserve">on il patrocinio di </w:t>
      </w:r>
    </w:p>
    <w:p w:rsidR="00FC5B9C" w:rsidRDefault="00FC5B9C" w:rsidP="00FC5B9C">
      <w:pPr>
        <w:pStyle w:val="Titolo"/>
        <w:tabs>
          <w:tab w:val="left" w:pos="2127"/>
        </w:tabs>
        <w:rPr>
          <w:rFonts w:ascii="Trajan-Regular" w:hAnsi="Trajan-Regular"/>
          <w:smallCaps/>
          <w:sz w:val="18"/>
          <w:szCs w:val="18"/>
        </w:rPr>
      </w:pPr>
    </w:p>
    <w:p w:rsidR="00FC5B9C" w:rsidRDefault="00091109" w:rsidP="00FC5B9C">
      <w:pPr>
        <w:pStyle w:val="Titolo"/>
        <w:tabs>
          <w:tab w:val="left" w:pos="2127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801793" cy="1543050"/>
            <wp:effectExtent l="19050" t="0" r="0" b="0"/>
            <wp:docPr id="2" name="Immagine 1" descr="al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14" cy="15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9C" w:rsidRPr="0048328F" w:rsidRDefault="00FC5B9C" w:rsidP="00FC5B9C">
      <w:pPr>
        <w:tabs>
          <w:tab w:val="left" w:pos="3165"/>
        </w:tabs>
        <w:spacing w:after="60"/>
        <w:jc w:val="center"/>
        <w:rPr>
          <w:rFonts w:ascii="Garamond" w:hAnsi="Garamond"/>
          <w:b/>
          <w:sz w:val="40"/>
          <w:szCs w:val="40"/>
        </w:rPr>
      </w:pPr>
      <w:r w:rsidRPr="0048328F">
        <w:rPr>
          <w:rFonts w:ascii="Garamond" w:hAnsi="Garamond"/>
          <w:b/>
          <w:sz w:val="40"/>
          <w:szCs w:val="40"/>
        </w:rPr>
        <w:t>“Usura e anatocismo: teorie, casi, soluzioni”</w:t>
      </w:r>
    </w:p>
    <w:p w:rsidR="00FC5B9C" w:rsidRPr="0048328F" w:rsidRDefault="00FC5B9C" w:rsidP="002E3A5F">
      <w:pPr>
        <w:tabs>
          <w:tab w:val="left" w:pos="3165"/>
        </w:tabs>
        <w:spacing w:line="360" w:lineRule="auto"/>
        <w:jc w:val="center"/>
        <w:rPr>
          <w:rFonts w:ascii="Garamond" w:hAnsi="Garamond"/>
        </w:rPr>
      </w:pPr>
      <w:r w:rsidRPr="0048328F">
        <w:rPr>
          <w:rFonts w:ascii="Garamond" w:hAnsi="Garamond"/>
        </w:rPr>
        <w:t xml:space="preserve">Venerdì 30 gennaio 2015 </w:t>
      </w:r>
    </w:p>
    <w:p w:rsidR="00FC5B9C" w:rsidRPr="0048328F" w:rsidRDefault="00FC5B9C" w:rsidP="002E3A5F">
      <w:pPr>
        <w:tabs>
          <w:tab w:val="left" w:pos="3165"/>
        </w:tabs>
        <w:spacing w:line="360" w:lineRule="auto"/>
        <w:jc w:val="center"/>
        <w:rPr>
          <w:rFonts w:ascii="Garamond" w:hAnsi="Garamond"/>
        </w:rPr>
      </w:pPr>
      <w:r w:rsidRPr="0048328F">
        <w:rPr>
          <w:rFonts w:ascii="Garamond" w:hAnsi="Garamond"/>
        </w:rPr>
        <w:t xml:space="preserve"> Ore </w:t>
      </w:r>
      <w:r w:rsidR="00B00BFD" w:rsidRPr="0048328F">
        <w:rPr>
          <w:rFonts w:ascii="Garamond" w:hAnsi="Garamond"/>
        </w:rPr>
        <w:t>9</w:t>
      </w:r>
      <w:r w:rsidRPr="0048328F">
        <w:rPr>
          <w:rFonts w:ascii="Garamond" w:hAnsi="Garamond"/>
        </w:rPr>
        <w:t>.</w:t>
      </w:r>
      <w:r w:rsidR="00B00BFD" w:rsidRPr="0048328F">
        <w:rPr>
          <w:rFonts w:ascii="Garamond" w:hAnsi="Garamond"/>
        </w:rPr>
        <w:t>3</w:t>
      </w:r>
      <w:r w:rsidRPr="0048328F">
        <w:rPr>
          <w:rFonts w:ascii="Garamond" w:hAnsi="Garamond"/>
        </w:rPr>
        <w:t>0/13,00 – 15.00/18.00</w:t>
      </w:r>
    </w:p>
    <w:p w:rsidR="00FC5B9C" w:rsidRPr="0048328F" w:rsidRDefault="00FC5B9C" w:rsidP="002E3A5F">
      <w:pPr>
        <w:tabs>
          <w:tab w:val="left" w:pos="3165"/>
        </w:tabs>
        <w:spacing w:line="360" w:lineRule="auto"/>
        <w:jc w:val="center"/>
        <w:rPr>
          <w:rFonts w:ascii="Garamond" w:hAnsi="Garamond"/>
        </w:rPr>
      </w:pPr>
      <w:r w:rsidRPr="0048328F">
        <w:rPr>
          <w:rFonts w:ascii="Garamond" w:hAnsi="Garamond"/>
        </w:rPr>
        <w:t>Aula A – Via Belmeloro 14 - Bologna</w:t>
      </w:r>
    </w:p>
    <w:p w:rsidR="00FC5B9C" w:rsidRPr="0048328F" w:rsidRDefault="00FC5B9C" w:rsidP="00FC5B9C">
      <w:pPr>
        <w:tabs>
          <w:tab w:val="left" w:pos="3165"/>
        </w:tabs>
        <w:spacing w:after="60"/>
        <w:jc w:val="center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B00BFD" w:rsidRPr="0048328F" w:rsidTr="00B00BFD"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  <w:i/>
              </w:rPr>
            </w:pPr>
            <w:r w:rsidRPr="0048328F">
              <w:rPr>
                <w:rFonts w:ascii="Garamond" w:hAnsi="Garamond"/>
                <w:i/>
              </w:rPr>
              <w:t>Ore 9.30-13.00 – Sessione mattutina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</w:p>
        </w:tc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  <w:i/>
              </w:rPr>
            </w:pPr>
            <w:r w:rsidRPr="0048328F">
              <w:rPr>
                <w:rFonts w:ascii="Garamond" w:hAnsi="Garamond"/>
                <w:i/>
              </w:rPr>
              <w:t>Ore 15.00 – 18.00 – Sessione pomeridiana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</w:tr>
      <w:tr w:rsidR="00B00BFD" w:rsidRPr="0048328F" w:rsidTr="00B00BFD">
        <w:tc>
          <w:tcPr>
            <w:tcW w:w="4889" w:type="dxa"/>
          </w:tcPr>
          <w:p w:rsidR="00B00BFD" w:rsidRPr="0048328F" w:rsidRDefault="00B00BFD" w:rsidP="00F52482">
            <w:pPr>
              <w:pStyle w:val="Titolo1"/>
              <w:spacing w:line="240" w:lineRule="atLeast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48328F">
              <w:rPr>
                <w:rFonts w:ascii="Garamond" w:hAnsi="Garamond"/>
                <w:sz w:val="22"/>
                <w:szCs w:val="22"/>
              </w:rPr>
              <w:t>Apertura dei lavori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Presiede: Prof. Gianluca Guerrieri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Università di Bologna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 xml:space="preserve">L’anatocismo nel conto corrente bancario: un falso 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problema ?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Prof. Umberto Morera – Università di Roma Tor Vergata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</w:tr>
      <w:tr w:rsidR="00B00BFD" w:rsidRPr="0048328F" w:rsidTr="00B00BFD"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L’usura nei contratti di finanziamento: profili civilistici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Prof. Gustavo Olivieri – LUISS Guido Carli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Capitalizzazione periodica ed anatocismo: strategie di calcolo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Prof. Franco Nardini – Università di Bologna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</w:tr>
      <w:tr w:rsidR="00B00BFD" w:rsidRPr="0048328F" w:rsidTr="00B00BFD"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L’usura: profili di diritto penale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Prof. Desirèe Fondaroli – Università di Bologna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La perizia bancaria: casi e soluzioni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 xml:space="preserve">Dott. Andrea Fontanelli – Dottore </w:t>
            </w:r>
            <w:r w:rsidR="00575D43" w:rsidRPr="0048328F">
              <w:rPr>
                <w:rFonts w:ascii="Garamond" w:hAnsi="Garamond"/>
              </w:rPr>
              <w:t>C</w:t>
            </w:r>
            <w:r w:rsidRPr="0048328F">
              <w:rPr>
                <w:rFonts w:ascii="Garamond" w:hAnsi="Garamond"/>
              </w:rPr>
              <w:t>ommercialista in Bologna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</w:tr>
      <w:tr w:rsidR="00B00BFD" w:rsidRPr="0048328F" w:rsidTr="00B00BFD">
        <w:tc>
          <w:tcPr>
            <w:tcW w:w="4889" w:type="dxa"/>
          </w:tcPr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L’anatocismo fra nuove norme e vecchi problemi</w:t>
            </w:r>
          </w:p>
          <w:p w:rsidR="00B00BFD" w:rsidRPr="0048328F" w:rsidRDefault="00B00BFD" w:rsidP="00F52482">
            <w:pPr>
              <w:spacing w:line="240" w:lineRule="atLeast"/>
              <w:rPr>
                <w:rFonts w:ascii="Garamond" w:hAnsi="Garamond"/>
              </w:rPr>
            </w:pPr>
            <w:r w:rsidRPr="0048328F">
              <w:rPr>
                <w:rFonts w:ascii="Garamond" w:hAnsi="Garamond"/>
              </w:rPr>
              <w:t>Prof. Simonetta Cotterli – Università di Modena e Reggio Emilia</w:t>
            </w:r>
          </w:p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  <w:tc>
          <w:tcPr>
            <w:tcW w:w="4889" w:type="dxa"/>
          </w:tcPr>
          <w:p w:rsidR="00B00BFD" w:rsidRPr="0048328F" w:rsidRDefault="00B00BFD" w:rsidP="00F52482">
            <w:pPr>
              <w:tabs>
                <w:tab w:val="left" w:pos="3165"/>
              </w:tabs>
              <w:spacing w:line="240" w:lineRule="atLeast"/>
              <w:rPr>
                <w:rFonts w:ascii="Garamond" w:hAnsi="Garamond"/>
              </w:rPr>
            </w:pPr>
          </w:p>
        </w:tc>
      </w:tr>
    </w:tbl>
    <w:p w:rsidR="00B00BFD" w:rsidRPr="0048328F" w:rsidRDefault="00B00BFD" w:rsidP="00F52482">
      <w:pPr>
        <w:widowControl w:val="0"/>
        <w:tabs>
          <w:tab w:val="left" w:pos="4428"/>
          <w:tab w:val="left" w:pos="4570"/>
        </w:tabs>
        <w:spacing w:line="240" w:lineRule="exact"/>
        <w:jc w:val="center"/>
        <w:rPr>
          <w:rFonts w:ascii="Garamond" w:hAnsi="Garamond"/>
          <w:sz w:val="23"/>
          <w:szCs w:val="23"/>
        </w:rPr>
      </w:pPr>
      <w:r w:rsidRPr="0048328F">
        <w:rPr>
          <w:rFonts w:ascii="Garamond" w:hAnsi="Garamond"/>
          <w:sz w:val="23"/>
          <w:szCs w:val="23"/>
        </w:rPr>
        <w:t>Coordinamento scientifico: Prof. Gianluca Guerrieri – Prof. Desirèe Fondaroli</w:t>
      </w:r>
    </w:p>
    <w:p w:rsidR="00B0384E" w:rsidRPr="0048328F" w:rsidRDefault="00B00BFD" w:rsidP="00B0384E">
      <w:pPr>
        <w:pStyle w:val="Titolo"/>
        <w:tabs>
          <w:tab w:val="left" w:pos="2127"/>
        </w:tabs>
        <w:rPr>
          <w:rFonts w:ascii="Arial Rounded MT Bold" w:hAnsi="Arial Rounded MT Bold"/>
          <w:sz w:val="20"/>
        </w:rPr>
      </w:pPr>
      <w:r w:rsidRPr="0048328F">
        <w:rPr>
          <w:rFonts w:ascii="Garamond" w:hAnsi="Garamond"/>
          <w:b w:val="0"/>
          <w:sz w:val="23"/>
          <w:szCs w:val="23"/>
        </w:rPr>
        <w:t xml:space="preserve">Segreteria organizzativa: Associazione </w:t>
      </w:r>
      <w:r w:rsidRPr="0048328F">
        <w:rPr>
          <w:rFonts w:ascii="Garamond" w:hAnsi="Garamond"/>
          <w:b w:val="0"/>
          <w:i/>
          <w:sz w:val="23"/>
          <w:szCs w:val="23"/>
        </w:rPr>
        <w:t xml:space="preserve"> </w:t>
      </w:r>
      <w:r w:rsidRPr="0048328F">
        <w:rPr>
          <w:rFonts w:ascii="Garamond" w:hAnsi="Garamond"/>
          <w:b w:val="0"/>
          <w:sz w:val="23"/>
          <w:szCs w:val="23"/>
        </w:rPr>
        <w:t>Studi Bancari</w:t>
      </w:r>
      <w:r w:rsidR="00B0384E" w:rsidRPr="0048328F">
        <w:rPr>
          <w:rFonts w:ascii="Garamond" w:hAnsi="Garamond"/>
          <w:b w:val="0"/>
          <w:sz w:val="23"/>
          <w:szCs w:val="23"/>
        </w:rPr>
        <w:t>. Per informazioni ed iscrizione contattare il</w:t>
      </w:r>
      <w:r w:rsidR="00B0384E" w:rsidRPr="0048328F">
        <w:rPr>
          <w:rFonts w:ascii="Garamond" w:hAnsi="Garamond"/>
          <w:sz w:val="23"/>
          <w:szCs w:val="23"/>
        </w:rPr>
        <w:t xml:space="preserve"> </w:t>
      </w:r>
      <w:r w:rsidR="00B0384E" w:rsidRPr="0048328F">
        <w:rPr>
          <w:rFonts w:ascii="Arial Rounded MT Bold" w:hAnsi="Arial Rounded MT Bold"/>
          <w:sz w:val="22"/>
          <w:szCs w:val="22"/>
        </w:rPr>
        <w:t>051.042.06.46</w:t>
      </w:r>
      <w:r w:rsidR="00B0384E" w:rsidRPr="0048328F">
        <w:rPr>
          <w:rFonts w:ascii="Garamond" w:hAnsi="Garamond"/>
          <w:b w:val="0"/>
          <w:sz w:val="23"/>
          <w:szCs w:val="23"/>
        </w:rPr>
        <w:t>, oppure accedere al sito</w:t>
      </w:r>
      <w:r w:rsidR="00B0384E" w:rsidRPr="0048328F">
        <w:rPr>
          <w:rFonts w:ascii="Garamond" w:hAnsi="Garamond"/>
          <w:b w:val="0"/>
          <w:noProof/>
          <w:sz w:val="22"/>
          <w:szCs w:val="22"/>
        </w:rPr>
        <w:t>:</w:t>
      </w:r>
      <w:r w:rsidR="00B0384E" w:rsidRPr="0048328F">
        <w:rPr>
          <w:rFonts w:ascii="Garamond" w:hAnsi="Garamond"/>
          <w:noProof/>
          <w:sz w:val="22"/>
          <w:szCs w:val="22"/>
        </w:rPr>
        <w:t xml:space="preserve"> </w:t>
      </w:r>
      <w:hyperlink r:id="rId10" w:history="1">
        <w:r w:rsidR="00B0384E" w:rsidRPr="0048328F">
          <w:rPr>
            <w:rStyle w:val="Collegamentoipertestuale"/>
            <w:rFonts w:ascii="Arial Rounded MT Bold" w:eastAsiaTheme="minorHAnsi" w:hAnsi="Arial Rounded MT Bold" w:cs="Arial-BoldMT"/>
            <w:bCs/>
            <w:color w:val="auto"/>
            <w:sz w:val="20"/>
            <w:u w:val="none"/>
          </w:rPr>
          <w:t>www.studibancari.it</w:t>
        </w:r>
      </w:hyperlink>
    </w:p>
    <w:p w:rsidR="00B00BFD" w:rsidRPr="0048328F" w:rsidRDefault="00B00BFD" w:rsidP="00F52482">
      <w:pPr>
        <w:widowControl w:val="0"/>
        <w:tabs>
          <w:tab w:val="left" w:pos="4428"/>
          <w:tab w:val="left" w:pos="4570"/>
        </w:tabs>
        <w:spacing w:line="240" w:lineRule="exact"/>
        <w:jc w:val="center"/>
        <w:rPr>
          <w:rFonts w:ascii="Garamond" w:hAnsi="Garamond"/>
          <w:sz w:val="23"/>
          <w:szCs w:val="23"/>
        </w:rPr>
      </w:pPr>
    </w:p>
    <w:p w:rsidR="00BF1FB8" w:rsidRPr="0048328F" w:rsidRDefault="00BF1FB8" w:rsidP="00F52482">
      <w:pPr>
        <w:widowControl w:val="0"/>
        <w:tabs>
          <w:tab w:val="left" w:pos="4428"/>
          <w:tab w:val="left" w:pos="4570"/>
        </w:tabs>
        <w:spacing w:line="240" w:lineRule="exact"/>
        <w:jc w:val="center"/>
        <w:rPr>
          <w:rFonts w:ascii="Garamond" w:hAnsi="Garamond"/>
          <w:sz w:val="23"/>
          <w:szCs w:val="23"/>
        </w:rPr>
      </w:pPr>
    </w:p>
    <w:p w:rsidR="00F52482" w:rsidRPr="0048328F" w:rsidRDefault="00F52482" w:rsidP="00F52482">
      <w:pPr>
        <w:widowControl w:val="0"/>
        <w:tabs>
          <w:tab w:val="left" w:pos="4428"/>
          <w:tab w:val="left" w:pos="4570"/>
        </w:tabs>
        <w:spacing w:line="240" w:lineRule="exact"/>
        <w:jc w:val="center"/>
        <w:rPr>
          <w:rFonts w:ascii="Garamond" w:hAnsi="Garamond"/>
          <w:sz w:val="23"/>
          <w:szCs w:val="23"/>
        </w:rPr>
      </w:pPr>
    </w:p>
    <w:p w:rsidR="00BF1FB8" w:rsidRPr="0048328F" w:rsidRDefault="00F52482" w:rsidP="00B038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65"/>
        </w:tabs>
        <w:spacing w:line="340" w:lineRule="exact"/>
        <w:ind w:left="1134" w:right="1134" w:firstLine="709"/>
        <w:jc w:val="center"/>
        <w:rPr>
          <w:rFonts w:ascii="ArialMT" w:eastAsiaTheme="minorHAnsi" w:hAnsi="ArialMT" w:cs="ArialMT"/>
          <w:b/>
          <w:sz w:val="18"/>
          <w:szCs w:val="18"/>
        </w:rPr>
      </w:pPr>
      <w:r w:rsidRPr="0048328F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Quota di partecipazione al convegno: </w:t>
      </w:r>
      <w:r w:rsidRPr="0048328F">
        <w:rPr>
          <w:rFonts w:ascii="ArialMT" w:eastAsiaTheme="minorHAnsi" w:hAnsi="ArialMT" w:cs="ArialMT"/>
          <w:b/>
          <w:sz w:val="18"/>
          <w:szCs w:val="18"/>
        </w:rPr>
        <w:t>Euro 55,00</w:t>
      </w:r>
    </w:p>
    <w:p w:rsidR="00E37814" w:rsidRPr="0048328F" w:rsidRDefault="00E37814" w:rsidP="00B038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65"/>
        </w:tabs>
        <w:spacing w:line="340" w:lineRule="exact"/>
        <w:ind w:left="1134" w:right="1134" w:firstLine="709"/>
        <w:jc w:val="center"/>
        <w:rPr>
          <w:rFonts w:ascii="ArialMT" w:eastAsiaTheme="minorHAnsi" w:hAnsi="ArialMT" w:cs="ArialMT"/>
          <w:sz w:val="18"/>
          <w:szCs w:val="18"/>
        </w:rPr>
      </w:pPr>
      <w:r w:rsidRPr="0048328F">
        <w:rPr>
          <w:rFonts w:ascii="Arial-BoldMT" w:eastAsiaTheme="minorHAnsi" w:hAnsi="Arial-BoldMT" w:cs="Arial-BoldMT"/>
          <w:bCs/>
          <w:sz w:val="20"/>
          <w:szCs w:val="20"/>
        </w:rPr>
        <w:t>Materiale di approfondimento</w:t>
      </w:r>
      <w:r w:rsidR="00BF1FB8" w:rsidRPr="0048328F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: </w:t>
      </w:r>
      <w:r w:rsidR="00BF1FB8" w:rsidRPr="0048328F">
        <w:rPr>
          <w:rFonts w:ascii="Arial-BoldMT" w:eastAsiaTheme="minorHAnsi" w:hAnsi="Arial-BoldMT" w:cs="Arial-BoldMT"/>
          <w:bCs/>
          <w:sz w:val="20"/>
          <w:szCs w:val="20"/>
        </w:rPr>
        <w:t>i</w:t>
      </w:r>
      <w:r w:rsidRPr="0048328F">
        <w:rPr>
          <w:rFonts w:ascii="ArialMT" w:eastAsiaTheme="minorHAnsi" w:hAnsi="ArialMT" w:cs="ArialMT"/>
          <w:sz w:val="18"/>
          <w:szCs w:val="18"/>
        </w:rPr>
        <w:t xml:space="preserve"> </w:t>
      </w:r>
      <w:r w:rsidR="00BF1FB8" w:rsidRPr="0048328F">
        <w:rPr>
          <w:rFonts w:ascii="ArialMT" w:eastAsiaTheme="minorHAnsi" w:hAnsi="ArialMT" w:cs="ArialMT"/>
          <w:sz w:val="18"/>
          <w:szCs w:val="18"/>
        </w:rPr>
        <w:t>p</w:t>
      </w:r>
      <w:r w:rsidRPr="0048328F">
        <w:rPr>
          <w:rFonts w:ascii="ArialMT" w:eastAsiaTheme="minorHAnsi" w:hAnsi="ArialMT" w:cs="ArialMT"/>
          <w:sz w:val="18"/>
          <w:szCs w:val="18"/>
        </w:rPr>
        <w:t>artecipanti riceveranno in omaggio il volume “</w:t>
      </w:r>
      <w:r w:rsidR="00E42E03" w:rsidRPr="0048328F">
        <w:rPr>
          <w:rFonts w:ascii="ArialMT" w:eastAsiaTheme="minorHAnsi" w:hAnsi="ArialMT" w:cs="ArialMT"/>
          <w:sz w:val="18"/>
          <w:szCs w:val="18"/>
        </w:rPr>
        <w:t>Usura Bancaria</w:t>
      </w:r>
      <w:r w:rsidRPr="0048328F">
        <w:rPr>
          <w:rFonts w:ascii="ArialMT" w:eastAsiaTheme="minorHAnsi" w:hAnsi="ArialMT" w:cs="ArialMT"/>
          <w:sz w:val="18"/>
          <w:szCs w:val="18"/>
        </w:rPr>
        <w:t>:</w:t>
      </w:r>
      <w:r w:rsidR="00E42E03" w:rsidRPr="0048328F">
        <w:rPr>
          <w:rFonts w:ascii="ArialMT" w:eastAsiaTheme="minorHAnsi" w:hAnsi="ArialMT" w:cs="ArialMT"/>
          <w:sz w:val="18"/>
          <w:szCs w:val="18"/>
        </w:rPr>
        <w:t xml:space="preserve"> </w:t>
      </w:r>
      <w:r w:rsidRPr="0048328F">
        <w:rPr>
          <w:rFonts w:ascii="ArialMT" w:eastAsiaTheme="minorHAnsi" w:hAnsi="ArialMT" w:cs="ArialMT"/>
          <w:sz w:val="18"/>
          <w:szCs w:val="18"/>
        </w:rPr>
        <w:t xml:space="preserve"> </w:t>
      </w:r>
      <w:r w:rsidR="00E42E03" w:rsidRPr="0048328F">
        <w:rPr>
          <w:rFonts w:ascii="ArialMT" w:eastAsiaTheme="minorHAnsi" w:hAnsi="ArialMT" w:cs="ArialMT"/>
          <w:sz w:val="18"/>
          <w:szCs w:val="18"/>
        </w:rPr>
        <w:t xml:space="preserve">principi, </w:t>
      </w:r>
      <w:r w:rsidRPr="0048328F">
        <w:rPr>
          <w:rFonts w:ascii="ArialMT" w:eastAsiaTheme="minorHAnsi" w:hAnsi="ArialMT" w:cs="ArialMT"/>
          <w:sz w:val="18"/>
          <w:szCs w:val="18"/>
        </w:rPr>
        <w:t>analisi matematiche, casi, soluzioni</w:t>
      </w:r>
      <w:r w:rsidR="00E42E03" w:rsidRPr="0048328F">
        <w:rPr>
          <w:rFonts w:ascii="ArialMT" w:eastAsiaTheme="minorHAnsi" w:hAnsi="ArialMT" w:cs="ArialMT"/>
          <w:sz w:val="18"/>
          <w:szCs w:val="18"/>
        </w:rPr>
        <w:t xml:space="preserve"> e massime giurisprudenziali”.</w:t>
      </w:r>
    </w:p>
    <w:p w:rsidR="00F52482" w:rsidRPr="0048328F" w:rsidRDefault="00F52482" w:rsidP="00F52482">
      <w:pPr>
        <w:pStyle w:val="Titolo"/>
        <w:tabs>
          <w:tab w:val="left" w:pos="2127"/>
        </w:tabs>
        <w:rPr>
          <w:rFonts w:ascii="Garamond" w:hAnsi="Garamond"/>
          <w:noProof/>
          <w:sz w:val="22"/>
          <w:szCs w:val="22"/>
        </w:rPr>
      </w:pPr>
    </w:p>
    <w:p w:rsidR="00F52482" w:rsidRPr="0048328F" w:rsidRDefault="00F52482" w:rsidP="00E37814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sz w:val="18"/>
          <w:szCs w:val="18"/>
        </w:rPr>
      </w:pPr>
    </w:p>
    <w:p w:rsidR="00E37814" w:rsidRPr="0048328F" w:rsidRDefault="00E37814" w:rsidP="00FC5B9C">
      <w:pPr>
        <w:tabs>
          <w:tab w:val="left" w:pos="3165"/>
        </w:tabs>
        <w:spacing w:after="60"/>
        <w:jc w:val="center"/>
        <w:rPr>
          <w:rFonts w:ascii="Times New Roman" w:eastAsia="Times New Roman" w:hAnsi="Times New Roman"/>
          <w:b/>
          <w:bCs/>
          <w:spacing w:val="-2"/>
          <w:sz w:val="18"/>
          <w:szCs w:val="18"/>
          <w:lang w:eastAsia="it-IT"/>
        </w:rPr>
      </w:pPr>
    </w:p>
    <w:p w:rsidR="00D445A7" w:rsidRPr="0048328F" w:rsidRDefault="00E37814" w:rsidP="002842EB">
      <w:pPr>
        <w:tabs>
          <w:tab w:val="left" w:pos="3165"/>
        </w:tabs>
        <w:spacing w:after="60"/>
        <w:jc w:val="center"/>
        <w:rPr>
          <w:rFonts w:ascii="Garamond" w:hAnsi="Garamond"/>
        </w:rPr>
      </w:pPr>
      <w:r w:rsidRPr="0048328F">
        <w:rPr>
          <w:rFonts w:ascii="Times New Roman" w:eastAsia="Times New Roman" w:hAnsi="Times New Roman"/>
          <w:b/>
          <w:bCs/>
          <w:spacing w:val="-2"/>
          <w:sz w:val="18"/>
          <w:szCs w:val="18"/>
          <w:lang w:eastAsia="it-IT"/>
        </w:rPr>
        <w:t>Event</w:t>
      </w:r>
      <w:r w:rsidRPr="0048328F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o</w:t>
      </w:r>
      <w:r w:rsidRPr="0048328F">
        <w:rPr>
          <w:rFonts w:ascii="Times New Roman" w:eastAsia="Times New Roman" w:hAnsi="Times New Roman"/>
          <w:b/>
          <w:bCs/>
          <w:spacing w:val="-5"/>
          <w:sz w:val="18"/>
          <w:szCs w:val="18"/>
          <w:lang w:eastAsia="it-IT"/>
        </w:rPr>
        <w:t xml:space="preserve"> </w:t>
      </w:r>
      <w:r w:rsidRPr="0048328F">
        <w:rPr>
          <w:rFonts w:ascii="Times New Roman" w:eastAsia="Times New Roman" w:hAnsi="Times New Roman"/>
          <w:b/>
          <w:bCs/>
          <w:spacing w:val="-2"/>
          <w:sz w:val="18"/>
          <w:szCs w:val="18"/>
          <w:lang w:eastAsia="it-IT"/>
        </w:rPr>
        <w:t xml:space="preserve">valido ai  fini della Formazione Professionale Continua per gli Iscritti all’Ordine </w:t>
      </w:r>
      <w:r w:rsidR="00231F7F" w:rsidRPr="0048328F">
        <w:rPr>
          <w:rFonts w:ascii="Times New Roman" w:eastAsia="Times New Roman" w:hAnsi="Times New Roman"/>
          <w:b/>
          <w:bCs/>
          <w:spacing w:val="-2"/>
          <w:sz w:val="18"/>
          <w:szCs w:val="18"/>
          <w:lang w:eastAsia="it-IT"/>
        </w:rPr>
        <w:t xml:space="preserve">degli Avvocati e all’Ordine </w:t>
      </w:r>
      <w:r w:rsidRPr="0048328F">
        <w:rPr>
          <w:rFonts w:ascii="Times New Roman" w:eastAsia="Times New Roman" w:hAnsi="Times New Roman"/>
          <w:b/>
          <w:bCs/>
          <w:spacing w:val="-2"/>
          <w:sz w:val="18"/>
          <w:szCs w:val="18"/>
          <w:lang w:eastAsia="it-IT"/>
        </w:rPr>
        <w:t>dei Dottori Commercialisti e degli Esperti Contabili  (n.6 crediti )</w:t>
      </w:r>
    </w:p>
    <w:sectPr w:rsidR="00D445A7" w:rsidRPr="0048328F" w:rsidSect="002E1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64" w:rsidRDefault="002A6364" w:rsidP="00C03C48">
      <w:r>
        <w:separator/>
      </w:r>
    </w:p>
  </w:endnote>
  <w:endnote w:type="continuationSeparator" w:id="0">
    <w:p w:rsidR="002A6364" w:rsidRDefault="002A6364" w:rsidP="00C0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rajan-Regula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64" w:rsidRDefault="002A6364" w:rsidP="00C03C48">
      <w:r>
        <w:separator/>
      </w:r>
    </w:p>
  </w:footnote>
  <w:footnote w:type="continuationSeparator" w:id="0">
    <w:p w:rsidR="002A6364" w:rsidRDefault="002A6364" w:rsidP="00C0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2" w:rsidRDefault="00E908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230"/>
    <w:multiLevelType w:val="hybridMultilevel"/>
    <w:tmpl w:val="48FA0E66"/>
    <w:lvl w:ilvl="0" w:tplc="7458D48A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D0C7CD4"/>
    <w:multiLevelType w:val="hybridMultilevel"/>
    <w:tmpl w:val="08E6E248"/>
    <w:lvl w:ilvl="0" w:tplc="31DC2334">
      <w:numFmt w:val="bullet"/>
      <w:lvlText w:val="-"/>
      <w:lvlJc w:val="left"/>
      <w:pPr>
        <w:ind w:left="765" w:hanging="360"/>
      </w:pPr>
      <w:rPr>
        <w:rFonts w:ascii="Georgia" w:eastAsia="Calibri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savePreviewPicture/>
  <w:hdrShapeDefaults>
    <o:shapedefaults v:ext="edit" spidmax="92162">
      <o:colormru v:ext="edit" colors="#dfc2b9,#e3d0b5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558E"/>
    <w:rsid w:val="000114E2"/>
    <w:rsid w:val="000134F1"/>
    <w:rsid w:val="000209F1"/>
    <w:rsid w:val="000374D9"/>
    <w:rsid w:val="00064671"/>
    <w:rsid w:val="00091109"/>
    <w:rsid w:val="000B2B4F"/>
    <w:rsid w:val="000D2DE4"/>
    <w:rsid w:val="000E2EEA"/>
    <w:rsid w:val="00150C69"/>
    <w:rsid w:val="00167A3B"/>
    <w:rsid w:val="001749B3"/>
    <w:rsid w:val="001945C2"/>
    <w:rsid w:val="001C1DC8"/>
    <w:rsid w:val="001F38C0"/>
    <w:rsid w:val="00200F74"/>
    <w:rsid w:val="002037D0"/>
    <w:rsid w:val="00210D9B"/>
    <w:rsid w:val="00220DD3"/>
    <w:rsid w:val="00231F7F"/>
    <w:rsid w:val="00244C2F"/>
    <w:rsid w:val="0024696A"/>
    <w:rsid w:val="002842EB"/>
    <w:rsid w:val="002846A4"/>
    <w:rsid w:val="002A1404"/>
    <w:rsid w:val="002A6364"/>
    <w:rsid w:val="002C5E3E"/>
    <w:rsid w:val="002E1988"/>
    <w:rsid w:val="002E2F5F"/>
    <w:rsid w:val="002E3A5F"/>
    <w:rsid w:val="002F7E4A"/>
    <w:rsid w:val="00305190"/>
    <w:rsid w:val="00310364"/>
    <w:rsid w:val="003125E5"/>
    <w:rsid w:val="003200D2"/>
    <w:rsid w:val="00331DD1"/>
    <w:rsid w:val="00333679"/>
    <w:rsid w:val="00353FFA"/>
    <w:rsid w:val="00362C4B"/>
    <w:rsid w:val="0036491E"/>
    <w:rsid w:val="00394799"/>
    <w:rsid w:val="00396AFC"/>
    <w:rsid w:val="003D4846"/>
    <w:rsid w:val="003E2067"/>
    <w:rsid w:val="00403BF9"/>
    <w:rsid w:val="00412D8E"/>
    <w:rsid w:val="00464040"/>
    <w:rsid w:val="00467F1F"/>
    <w:rsid w:val="00482700"/>
    <w:rsid w:val="00482CE6"/>
    <w:rsid w:val="0048328F"/>
    <w:rsid w:val="004A21FA"/>
    <w:rsid w:val="004B24B4"/>
    <w:rsid w:val="004B2F9B"/>
    <w:rsid w:val="004F42E6"/>
    <w:rsid w:val="00506D74"/>
    <w:rsid w:val="00520965"/>
    <w:rsid w:val="00541760"/>
    <w:rsid w:val="0056558E"/>
    <w:rsid w:val="00575D43"/>
    <w:rsid w:val="00580A12"/>
    <w:rsid w:val="005D5F36"/>
    <w:rsid w:val="005E134A"/>
    <w:rsid w:val="005E3EDA"/>
    <w:rsid w:val="005F0FF0"/>
    <w:rsid w:val="00664403"/>
    <w:rsid w:val="006866BC"/>
    <w:rsid w:val="006A09F9"/>
    <w:rsid w:val="006B316D"/>
    <w:rsid w:val="006F1CC8"/>
    <w:rsid w:val="00710BC3"/>
    <w:rsid w:val="00720FB9"/>
    <w:rsid w:val="00763DBD"/>
    <w:rsid w:val="00783614"/>
    <w:rsid w:val="00793932"/>
    <w:rsid w:val="00796B89"/>
    <w:rsid w:val="007B2329"/>
    <w:rsid w:val="007B4ABD"/>
    <w:rsid w:val="007D25DA"/>
    <w:rsid w:val="00810F76"/>
    <w:rsid w:val="008114E1"/>
    <w:rsid w:val="00863AAC"/>
    <w:rsid w:val="00872B50"/>
    <w:rsid w:val="008C6304"/>
    <w:rsid w:val="008F6D80"/>
    <w:rsid w:val="0090368A"/>
    <w:rsid w:val="00915AA0"/>
    <w:rsid w:val="00925716"/>
    <w:rsid w:val="00927E4D"/>
    <w:rsid w:val="00977447"/>
    <w:rsid w:val="0099275E"/>
    <w:rsid w:val="009D1960"/>
    <w:rsid w:val="009D48BB"/>
    <w:rsid w:val="009E685D"/>
    <w:rsid w:val="00A033A1"/>
    <w:rsid w:val="00A15D11"/>
    <w:rsid w:val="00A2303C"/>
    <w:rsid w:val="00A35895"/>
    <w:rsid w:val="00A77FD5"/>
    <w:rsid w:val="00A91841"/>
    <w:rsid w:val="00AC7E12"/>
    <w:rsid w:val="00AE36EB"/>
    <w:rsid w:val="00AF7611"/>
    <w:rsid w:val="00B00BFD"/>
    <w:rsid w:val="00B0384E"/>
    <w:rsid w:val="00B300BE"/>
    <w:rsid w:val="00B56A66"/>
    <w:rsid w:val="00B63823"/>
    <w:rsid w:val="00B75478"/>
    <w:rsid w:val="00B85A1C"/>
    <w:rsid w:val="00BB19AE"/>
    <w:rsid w:val="00BC3445"/>
    <w:rsid w:val="00BD514A"/>
    <w:rsid w:val="00BF04A3"/>
    <w:rsid w:val="00BF1FB8"/>
    <w:rsid w:val="00BF6D82"/>
    <w:rsid w:val="00C02D4E"/>
    <w:rsid w:val="00C03C48"/>
    <w:rsid w:val="00C05E2A"/>
    <w:rsid w:val="00C3664E"/>
    <w:rsid w:val="00CB4591"/>
    <w:rsid w:val="00D00F54"/>
    <w:rsid w:val="00D0554E"/>
    <w:rsid w:val="00D065A9"/>
    <w:rsid w:val="00D10F33"/>
    <w:rsid w:val="00D22C6D"/>
    <w:rsid w:val="00D34E4D"/>
    <w:rsid w:val="00D401B1"/>
    <w:rsid w:val="00D43D8D"/>
    <w:rsid w:val="00D445A7"/>
    <w:rsid w:val="00D73674"/>
    <w:rsid w:val="00D85A6B"/>
    <w:rsid w:val="00DA4413"/>
    <w:rsid w:val="00DE74ED"/>
    <w:rsid w:val="00E37814"/>
    <w:rsid w:val="00E42E03"/>
    <w:rsid w:val="00E678AE"/>
    <w:rsid w:val="00E703F6"/>
    <w:rsid w:val="00E75D4F"/>
    <w:rsid w:val="00E90862"/>
    <w:rsid w:val="00EA0DA1"/>
    <w:rsid w:val="00EA677B"/>
    <w:rsid w:val="00ED07A0"/>
    <w:rsid w:val="00EF5C18"/>
    <w:rsid w:val="00F109AD"/>
    <w:rsid w:val="00F52482"/>
    <w:rsid w:val="00F82262"/>
    <w:rsid w:val="00F9046E"/>
    <w:rsid w:val="00FB5C14"/>
    <w:rsid w:val="00FB790E"/>
    <w:rsid w:val="00FC3DAA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#dfc2b9,#e3d0b5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5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C5B9C"/>
    <w:pPr>
      <w:keepNext/>
      <w:jc w:val="left"/>
      <w:outlineLvl w:val="0"/>
    </w:pPr>
    <w:rPr>
      <w:rFonts w:ascii="Times New Roman" w:eastAsia="Times New Roman" w:hAnsi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655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58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58E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FB790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3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C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3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C48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FC5B9C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C5B9C"/>
    <w:pPr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5B9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0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58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655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58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58E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FB790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3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C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3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C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udibancar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6752-C26A-4625-AD3F-46DD27AA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Andrea</cp:lastModifiedBy>
  <cp:revision>4</cp:revision>
  <cp:lastPrinted>2014-11-28T15:52:00Z</cp:lastPrinted>
  <dcterms:created xsi:type="dcterms:W3CDTF">2014-12-01T09:19:00Z</dcterms:created>
  <dcterms:modified xsi:type="dcterms:W3CDTF">2014-12-05T09:41:00Z</dcterms:modified>
</cp:coreProperties>
</file>